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8820" w:type="dxa"/>
        <w:tblLook w:val="04A0" w:firstRow="1" w:lastRow="0" w:firstColumn="1" w:lastColumn="0" w:noHBand="0" w:noVBand="1"/>
      </w:tblPr>
      <w:tblGrid>
        <w:gridCol w:w="2940"/>
        <w:gridCol w:w="2940"/>
        <w:gridCol w:w="2940"/>
      </w:tblGrid>
      <w:tr w:rsidR="00281238" w:rsidRPr="00281238" w14:paraId="612B869C" w14:textId="77777777" w:rsidTr="00281238">
        <w:trPr>
          <w:trHeight w:val="675"/>
        </w:trPr>
        <w:tc>
          <w:tcPr>
            <w:tcW w:w="8820" w:type="dxa"/>
            <w:gridSpan w:val="3"/>
            <w:shd w:val="clear" w:color="auto" w:fill="3B3838" w:themeFill="background2" w:themeFillShade="40"/>
          </w:tcPr>
          <w:p w14:paraId="4F8965BF" w14:textId="77777777" w:rsidR="00281238" w:rsidRPr="00281238" w:rsidRDefault="00281238">
            <w:pPr>
              <w:rPr>
                <w:b/>
                <w:color w:val="FFFFFF" w:themeColor="background1"/>
              </w:rPr>
            </w:pPr>
            <w:bookmarkStart w:id="0" w:name="_GoBack"/>
          </w:p>
          <w:p w14:paraId="65113BAF" w14:textId="77777777" w:rsidR="00281238" w:rsidRPr="00281238" w:rsidRDefault="00281238" w:rsidP="00281238">
            <w:pPr>
              <w:jc w:val="center"/>
              <w:rPr>
                <w:b/>
                <w:color w:val="FFFFFF" w:themeColor="background1"/>
              </w:rPr>
            </w:pPr>
            <w:r w:rsidRPr="00281238">
              <w:rPr>
                <w:rFonts w:ascii="Verdana" w:hAnsi="Verdana"/>
                <w:b/>
                <w:color w:val="FFFFFF" w:themeColor="background1"/>
                <w:szCs w:val="22"/>
              </w:rPr>
              <w:t>COMPARACIÓN DE GESTIÓN DE ACTIVOS CON ESTRATEGIAS DE LUBRICACIÓN</w:t>
            </w:r>
          </w:p>
        </w:tc>
      </w:tr>
      <w:tr w:rsidR="00281238" w:rsidRPr="00281238" w14:paraId="5A2E69CB" w14:textId="77777777" w:rsidTr="00281238">
        <w:trPr>
          <w:trHeight w:val="1732"/>
        </w:trPr>
        <w:tc>
          <w:tcPr>
            <w:tcW w:w="2940" w:type="dxa"/>
            <w:shd w:val="clear" w:color="auto" w:fill="317DE6"/>
          </w:tcPr>
          <w:p w14:paraId="5DD7E6F0" w14:textId="77777777" w:rsidR="00281238" w:rsidRPr="00281238" w:rsidRDefault="00281238" w:rsidP="00281238">
            <w:pPr>
              <w:rPr>
                <w:rFonts w:ascii="Verdana" w:hAnsi="Verdana"/>
                <w:b/>
                <w:color w:val="FFFFFF" w:themeColor="background1"/>
                <w:sz w:val="18"/>
                <w:szCs w:val="22"/>
              </w:rPr>
            </w:pPr>
          </w:p>
          <w:p w14:paraId="3EC35DFA" w14:textId="77777777" w:rsidR="00281238" w:rsidRPr="00281238" w:rsidRDefault="00281238" w:rsidP="00281238">
            <w:pPr>
              <w:rPr>
                <w:rFonts w:ascii="Verdana" w:hAnsi="Verdana"/>
                <w:b/>
                <w:color w:val="FFFFFF" w:themeColor="background1"/>
                <w:sz w:val="18"/>
                <w:szCs w:val="22"/>
              </w:rPr>
            </w:pPr>
          </w:p>
          <w:p w14:paraId="67F92306" w14:textId="77777777" w:rsidR="00281238" w:rsidRPr="00281238" w:rsidRDefault="00281238" w:rsidP="00281238">
            <w:pPr>
              <w:jc w:val="center"/>
              <w:rPr>
                <w:rFonts w:ascii="Verdana" w:hAnsi="Verdana"/>
                <w:b/>
                <w:color w:val="FFFFFF" w:themeColor="background1"/>
                <w:sz w:val="18"/>
                <w:szCs w:val="22"/>
              </w:rPr>
            </w:pPr>
          </w:p>
          <w:p w14:paraId="5BC189E6" w14:textId="77777777" w:rsidR="00281238" w:rsidRPr="00281238" w:rsidRDefault="00281238" w:rsidP="00281238">
            <w:pPr>
              <w:jc w:val="center"/>
              <w:rPr>
                <w:b/>
                <w:color w:val="FFFFFF" w:themeColor="background1"/>
              </w:rPr>
            </w:pPr>
            <w:r w:rsidRPr="00281238">
              <w:rPr>
                <w:rFonts w:ascii="Verdana" w:hAnsi="Verdana"/>
                <w:b/>
                <w:color w:val="FFFFFF" w:themeColor="background1"/>
                <w:sz w:val="18"/>
                <w:szCs w:val="22"/>
              </w:rPr>
              <w:t>ETAPA DEL CICLO DE VIDA DEL ACTIVO</w:t>
            </w:r>
          </w:p>
        </w:tc>
        <w:tc>
          <w:tcPr>
            <w:tcW w:w="2940" w:type="dxa"/>
            <w:shd w:val="clear" w:color="auto" w:fill="317DE6"/>
            <w:vAlign w:val="center"/>
          </w:tcPr>
          <w:p w14:paraId="2AD42BE6" w14:textId="77777777" w:rsidR="00281238" w:rsidRPr="00281238" w:rsidRDefault="00281238" w:rsidP="00281238">
            <w:pPr>
              <w:spacing w:before="100" w:beforeAutospacing="1" w:after="100" w:afterAutospacing="1"/>
              <w:rPr>
                <w:rFonts w:ascii="Verdana" w:hAnsi="Verdana"/>
                <w:b/>
                <w:color w:val="FFFFFF" w:themeColor="background1"/>
                <w:sz w:val="18"/>
                <w:szCs w:val="22"/>
              </w:rPr>
            </w:pPr>
            <w:r w:rsidRPr="00281238">
              <w:rPr>
                <w:rFonts w:ascii="Verdana" w:hAnsi="Verdana"/>
                <w:b/>
                <w:color w:val="FFFFFF" w:themeColor="background1"/>
                <w:sz w:val="18"/>
                <w:szCs w:val="22"/>
              </w:rPr>
              <w:t>EJEMPLO DE ACCIONES DE GESTIÓN DE ACTIVOS</w:t>
            </w:r>
          </w:p>
        </w:tc>
        <w:tc>
          <w:tcPr>
            <w:tcW w:w="2940" w:type="dxa"/>
            <w:shd w:val="clear" w:color="auto" w:fill="317DE6"/>
            <w:vAlign w:val="center"/>
          </w:tcPr>
          <w:p w14:paraId="28A4ED40" w14:textId="77777777" w:rsidR="00281238" w:rsidRPr="00281238" w:rsidRDefault="00281238" w:rsidP="00281238">
            <w:pPr>
              <w:spacing w:before="100" w:beforeAutospacing="1" w:after="100" w:afterAutospacing="1"/>
              <w:jc w:val="center"/>
              <w:rPr>
                <w:rFonts w:ascii="Verdana" w:hAnsi="Verdana"/>
                <w:b/>
                <w:color w:val="FFFFFF" w:themeColor="background1"/>
                <w:sz w:val="18"/>
                <w:szCs w:val="22"/>
              </w:rPr>
            </w:pPr>
            <w:r w:rsidRPr="00281238">
              <w:rPr>
                <w:rFonts w:ascii="Verdana" w:hAnsi="Verdana"/>
                <w:b/>
                <w:color w:val="FFFFFF" w:themeColor="background1"/>
                <w:sz w:val="18"/>
                <w:szCs w:val="22"/>
              </w:rPr>
              <w:t>EJEMPLOS DE ACCIONES DE EXCELENCIA EN LUBRICACIÓN</w:t>
            </w:r>
          </w:p>
        </w:tc>
      </w:tr>
      <w:tr w:rsidR="00281238" w14:paraId="4777B470" w14:textId="77777777" w:rsidTr="002C315B">
        <w:trPr>
          <w:trHeight w:val="1883"/>
        </w:trPr>
        <w:tc>
          <w:tcPr>
            <w:tcW w:w="2940" w:type="dxa"/>
            <w:vAlign w:val="center"/>
          </w:tcPr>
          <w:p w14:paraId="419D7DC4"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Especificaciones y selección de maquinaria.</w:t>
            </w:r>
          </w:p>
        </w:tc>
        <w:tc>
          <w:tcPr>
            <w:tcW w:w="2940" w:type="dxa"/>
            <w:vAlign w:val="center"/>
          </w:tcPr>
          <w:p w14:paraId="51EEAD0E"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Las máquinas son seleccionadas con las capacidades requeridas para los objetivos de producción (y del negocio) al igual que para los objetivos de confiabilidad y severidad del medio ambiente de la máquina.</w:t>
            </w:r>
          </w:p>
        </w:tc>
        <w:tc>
          <w:tcPr>
            <w:tcW w:w="2940" w:type="dxa"/>
            <w:vAlign w:val="center"/>
          </w:tcPr>
          <w:p w14:paraId="4C71DEA8"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Selección de sistemas de filtración, diseño del cuarto de lubricación, herramientas de lubricación, accesorios, lubricantes y proveedores.</w:t>
            </w:r>
          </w:p>
        </w:tc>
      </w:tr>
      <w:tr w:rsidR="00281238" w14:paraId="306B2207" w14:textId="77777777" w:rsidTr="00281238">
        <w:trPr>
          <w:trHeight w:val="1732"/>
        </w:trPr>
        <w:tc>
          <w:tcPr>
            <w:tcW w:w="2940" w:type="dxa"/>
            <w:shd w:val="clear" w:color="auto" w:fill="BDD6EE" w:themeFill="accent1" w:themeFillTint="66"/>
            <w:vAlign w:val="center"/>
          </w:tcPr>
          <w:p w14:paraId="56520B9F"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Instalación y puesta en marcha.</w:t>
            </w:r>
          </w:p>
        </w:tc>
        <w:tc>
          <w:tcPr>
            <w:tcW w:w="2940" w:type="dxa"/>
            <w:shd w:val="clear" w:color="auto" w:fill="BDD6EE" w:themeFill="accent1" w:themeFillTint="66"/>
            <w:vAlign w:val="center"/>
          </w:tcPr>
          <w:p w14:paraId="2494B1EC"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Mejores prácticas para el transporte y manejo de los activos, así como para la instalación, alineación, lavado, pruebas de arranque y aprobación para operar, modificaciones y tecnologías para una operación confiable, sistemas y equipos que apoyen una operación confiable y productiva, así como una buena mantenibilidad de los activos.</w:t>
            </w:r>
          </w:p>
        </w:tc>
        <w:tc>
          <w:tcPr>
            <w:tcW w:w="2940" w:type="dxa"/>
            <w:shd w:val="clear" w:color="auto" w:fill="BDD6EE" w:themeFill="accent1" w:themeFillTint="66"/>
            <w:vAlign w:val="center"/>
          </w:tcPr>
          <w:p w14:paraId="777A786F" w14:textId="77777777" w:rsidR="00281238" w:rsidRPr="00A95AC8" w:rsidRDefault="00281238" w:rsidP="007F277B">
            <w:pPr>
              <w:spacing w:before="100" w:beforeAutospacing="1" w:after="100" w:afterAutospacing="1"/>
              <w:rPr>
                <w:rFonts w:ascii="Verdana" w:hAnsi="Verdana"/>
                <w:sz w:val="16"/>
                <w:szCs w:val="22"/>
              </w:rPr>
            </w:pPr>
            <w:r w:rsidRPr="00A95AC8">
              <w:rPr>
                <w:rFonts w:ascii="Verdana" w:hAnsi="Verdana"/>
                <w:sz w:val="16"/>
                <w:szCs w:val="22"/>
              </w:rPr>
              <w:t>Implementación del cuarto de lubricación, almacenamiento y aplicación del lubricante a la maquinaria, instalación de sistemas de filtración, rediseño de la maquinaria, etc.</w:t>
            </w:r>
          </w:p>
        </w:tc>
      </w:tr>
      <w:tr w:rsidR="00281238" w14:paraId="03C1B174" w14:textId="77777777" w:rsidTr="002C315B">
        <w:trPr>
          <w:trHeight w:val="1883"/>
        </w:trPr>
        <w:tc>
          <w:tcPr>
            <w:tcW w:w="2940" w:type="dxa"/>
            <w:vAlign w:val="center"/>
          </w:tcPr>
          <w:p w14:paraId="19052902" w14:textId="77777777" w:rsidR="00281238" w:rsidRPr="00A95AC8" w:rsidRDefault="00281238" w:rsidP="007F277B">
            <w:pPr>
              <w:rPr>
                <w:rFonts w:ascii="Verdana" w:hAnsi="Verdana"/>
                <w:sz w:val="16"/>
                <w:szCs w:val="22"/>
              </w:rPr>
            </w:pPr>
            <w:r w:rsidRPr="00A95AC8">
              <w:rPr>
                <w:rFonts w:ascii="Verdana" w:hAnsi="Verdana"/>
                <w:sz w:val="16"/>
                <w:szCs w:val="22"/>
              </w:rPr>
              <w:t>Operación y mantenimiento:</w:t>
            </w:r>
          </w:p>
          <w:p w14:paraId="7602E99F" w14:textId="77777777" w:rsidR="00281238" w:rsidRPr="00A95AC8" w:rsidRDefault="00281238" w:rsidP="007F277B">
            <w:pPr>
              <w:rPr>
                <w:rFonts w:ascii="Verdana" w:hAnsi="Verdana"/>
                <w:sz w:val="16"/>
                <w:szCs w:val="22"/>
              </w:rPr>
            </w:pPr>
            <w:r w:rsidRPr="00A95AC8">
              <w:rPr>
                <w:rFonts w:ascii="Verdana" w:hAnsi="Verdana"/>
                <w:sz w:val="16"/>
                <w:szCs w:val="22"/>
              </w:rPr>
              <w:t>La operación dentro de las capacidades de diseño, es importante para una vida extensa y productiva. El intervalo de mantenimiento requerido es también fundamental. La estrategia de mantenimiento se implementa con los mejores recursos, de acuerdo con los gastos y riesgos. La inversión en las estrategias de confiabilidad es crítica en la vida productiva de la máquina. La estrategia de mantenimiento no es estática. Debe estar alineada con un programa de mejoramiento continuo y creativo.</w:t>
            </w:r>
          </w:p>
        </w:tc>
        <w:tc>
          <w:tcPr>
            <w:tcW w:w="2940" w:type="dxa"/>
            <w:vAlign w:val="center"/>
          </w:tcPr>
          <w:p w14:paraId="68C965EE" w14:textId="77777777" w:rsidR="00281238" w:rsidRPr="00A95AC8" w:rsidRDefault="00281238" w:rsidP="007F277B">
            <w:pPr>
              <w:rPr>
                <w:rFonts w:ascii="Verdana" w:hAnsi="Verdana"/>
                <w:sz w:val="16"/>
                <w:szCs w:val="22"/>
              </w:rPr>
            </w:pPr>
            <w:r w:rsidRPr="00A95AC8">
              <w:rPr>
                <w:rFonts w:ascii="Verdana" w:hAnsi="Verdana"/>
                <w:sz w:val="16"/>
                <w:szCs w:val="22"/>
              </w:rPr>
              <w:t>Esto denota el uso y la administración de la máquina o el activo durante su vida. Incluye los programas de operación/producción y los paros programados. La estrategia de mantenimiento debe incluir un plan preventivo, así como estrategias predictivas y proactivas. Incluye mejoras tecnológicas para el control de producción y la confiabilidad de la máquina (mejoramiento continuo).</w:t>
            </w:r>
          </w:p>
        </w:tc>
        <w:tc>
          <w:tcPr>
            <w:tcW w:w="2940" w:type="dxa"/>
            <w:vAlign w:val="center"/>
          </w:tcPr>
          <w:p w14:paraId="11584E54" w14:textId="77777777" w:rsidR="00281238" w:rsidRPr="00A95AC8" w:rsidRDefault="00281238" w:rsidP="007F277B">
            <w:pPr>
              <w:rPr>
                <w:rFonts w:ascii="Verdana" w:hAnsi="Verdana"/>
                <w:sz w:val="16"/>
                <w:szCs w:val="22"/>
              </w:rPr>
            </w:pPr>
            <w:r w:rsidRPr="00A95AC8">
              <w:rPr>
                <w:rFonts w:ascii="Verdana" w:hAnsi="Verdana"/>
                <w:sz w:val="16"/>
                <w:szCs w:val="22"/>
              </w:rPr>
              <w:t>Desarrollo del programa de lubricación, rutas de lubricación e inspección, procedimientos relacionados con lubricación y tareas, estrategias de análisis de lubricantes, programas de control de contaminación de lubricantes, control de fugas, revisión periódica del programa de lubricación, uso de nuevas tecnologías, mejoramiento continuo de la estrategia del análisis de lubricantes, etc.</w:t>
            </w:r>
          </w:p>
        </w:tc>
      </w:tr>
      <w:tr w:rsidR="00281238" w14:paraId="6FEB241D" w14:textId="77777777" w:rsidTr="00281238">
        <w:trPr>
          <w:trHeight w:val="1732"/>
        </w:trPr>
        <w:tc>
          <w:tcPr>
            <w:tcW w:w="2940" w:type="dxa"/>
            <w:shd w:val="clear" w:color="auto" w:fill="BDD6EE" w:themeFill="accent1" w:themeFillTint="66"/>
            <w:vAlign w:val="center"/>
          </w:tcPr>
          <w:p w14:paraId="38C166D0" w14:textId="77777777" w:rsidR="00281238" w:rsidRPr="00A95AC8" w:rsidRDefault="00281238" w:rsidP="007F277B">
            <w:pPr>
              <w:rPr>
                <w:rFonts w:ascii="Verdana" w:hAnsi="Verdana"/>
                <w:sz w:val="16"/>
                <w:szCs w:val="22"/>
              </w:rPr>
            </w:pPr>
            <w:r w:rsidRPr="00A95AC8">
              <w:rPr>
                <w:rFonts w:ascii="Verdana" w:hAnsi="Verdana"/>
                <w:sz w:val="16"/>
                <w:szCs w:val="22"/>
              </w:rPr>
              <w:t>Final de la vida útil.</w:t>
            </w:r>
          </w:p>
        </w:tc>
        <w:tc>
          <w:tcPr>
            <w:tcW w:w="2940" w:type="dxa"/>
            <w:shd w:val="clear" w:color="auto" w:fill="BDD6EE" w:themeFill="accent1" w:themeFillTint="66"/>
            <w:vAlign w:val="center"/>
          </w:tcPr>
          <w:p w14:paraId="6E9211D3" w14:textId="77777777" w:rsidR="00281238" w:rsidRPr="00A95AC8" w:rsidRDefault="00281238" w:rsidP="007F277B">
            <w:pPr>
              <w:rPr>
                <w:rFonts w:ascii="Verdana" w:hAnsi="Verdana"/>
                <w:sz w:val="16"/>
                <w:szCs w:val="22"/>
              </w:rPr>
            </w:pPr>
            <w:r w:rsidRPr="00A95AC8">
              <w:rPr>
                <w:rFonts w:ascii="Verdana" w:hAnsi="Verdana"/>
                <w:sz w:val="16"/>
                <w:szCs w:val="22"/>
              </w:rPr>
              <w:t xml:space="preserve">Esto ocurre cuando es más rentable remplazar que reparar/reconstruir. También aplica para componentes de bajo costo cuando se aplica la estrategia de mantenimiento de </w:t>
            </w:r>
            <w:r w:rsidRPr="00A95AC8">
              <w:rPr>
                <w:rFonts w:ascii="Verdana" w:hAnsi="Verdana"/>
                <w:i/>
                <w:sz w:val="16"/>
                <w:szCs w:val="22"/>
              </w:rPr>
              <w:t>operar hasta la falla</w:t>
            </w:r>
            <w:r w:rsidRPr="00A95AC8">
              <w:rPr>
                <w:rFonts w:ascii="Verdana" w:hAnsi="Verdana"/>
                <w:sz w:val="16"/>
                <w:szCs w:val="22"/>
              </w:rPr>
              <w:t>. El activo es separado y excluido del sistema de gestión de activos.</w:t>
            </w:r>
          </w:p>
        </w:tc>
        <w:tc>
          <w:tcPr>
            <w:tcW w:w="2940" w:type="dxa"/>
            <w:shd w:val="clear" w:color="auto" w:fill="BDD6EE" w:themeFill="accent1" w:themeFillTint="66"/>
            <w:vAlign w:val="center"/>
          </w:tcPr>
          <w:p w14:paraId="74C2CACE" w14:textId="77777777" w:rsidR="00281238" w:rsidRPr="00A95AC8" w:rsidRDefault="00281238" w:rsidP="007F277B">
            <w:pPr>
              <w:rPr>
                <w:rFonts w:ascii="Verdana" w:hAnsi="Verdana"/>
                <w:sz w:val="16"/>
                <w:szCs w:val="22"/>
              </w:rPr>
            </w:pPr>
            <w:r w:rsidRPr="00A95AC8">
              <w:rPr>
                <w:rFonts w:ascii="Verdana" w:hAnsi="Verdana"/>
                <w:sz w:val="16"/>
                <w:szCs w:val="22"/>
              </w:rPr>
              <w:t>Los lubricantes y materiales contaminados con lubricantes son dispuestos adecuadamente al final de su vida útil.</w:t>
            </w:r>
          </w:p>
        </w:tc>
      </w:tr>
    </w:tbl>
    <w:bookmarkEnd w:id="0"/>
    <w:p w14:paraId="2AD5604D" w14:textId="77777777" w:rsidR="000B7816" w:rsidRDefault="00281238">
      <w:r>
        <w:br w:type="textWrapping" w:clear="all"/>
      </w:r>
    </w:p>
    <w:sectPr w:rsidR="000B7816" w:rsidSect="00BF04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38"/>
    <w:rsid w:val="00281238"/>
    <w:rsid w:val="0041014D"/>
    <w:rsid w:val="00AA2374"/>
    <w:rsid w:val="00B02B32"/>
    <w:rsid w:val="00BF047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822E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38"/>
    <w:rPr>
      <w:rFonts w:ascii="Century Schoolbook" w:eastAsia="Times New Roman" w:hAnsi="Century Schoolbook"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81238"/>
    <w:rPr>
      <w:rFonts w:ascii="Times New Roman" w:eastAsia="SimSu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432</Words>
  <Characters>2381</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Mariz Mares</dc:creator>
  <cp:keywords/>
  <dc:description/>
  <cp:lastModifiedBy>Miguel Ángel Mariz Mares</cp:lastModifiedBy>
  <cp:revision>1</cp:revision>
  <cp:lastPrinted>2017-06-29T21:18:00Z</cp:lastPrinted>
  <dcterms:created xsi:type="dcterms:W3CDTF">2017-06-29T21:05:00Z</dcterms:created>
  <dcterms:modified xsi:type="dcterms:W3CDTF">2017-06-29T21:20:00Z</dcterms:modified>
</cp:coreProperties>
</file>